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9F9F9"/>
        <w:spacing w:line="360" w:lineRule="atLeast"/>
        <w:jc w:val="center"/>
        <w:outlineLvl w:val="1"/>
        <w:rPr>
          <w:rFonts w:ascii="Arial" w:hAnsi="Arial" w:eastAsia="宋体" w:cs="Arial"/>
          <w:b/>
          <w:bCs/>
          <w:color w:val="E17630"/>
          <w:kern w:val="0"/>
          <w:sz w:val="36"/>
          <w:szCs w:val="36"/>
        </w:rPr>
      </w:pPr>
      <w:r>
        <w:rPr>
          <w:rFonts w:hint="eastAsia" w:ascii="Arial" w:hAnsi="Arial" w:eastAsia="宋体" w:cs="Arial"/>
          <w:b/>
          <w:bCs/>
          <w:color w:val="E17630"/>
          <w:kern w:val="0"/>
          <w:sz w:val="36"/>
          <w:szCs w:val="36"/>
        </w:rPr>
        <w:t>阳西海滨电力发展有限公司</w:t>
      </w:r>
      <w:r>
        <w:rPr>
          <w:rFonts w:ascii="Arial" w:hAnsi="Arial" w:eastAsia="宋体" w:cs="Arial"/>
          <w:b/>
          <w:bCs/>
          <w:color w:val="E17630"/>
          <w:kern w:val="0"/>
          <w:sz w:val="36"/>
          <w:szCs w:val="36"/>
        </w:rPr>
        <w:t>环境信息公开</w:t>
      </w:r>
    </w:p>
    <w:p>
      <w:pPr>
        <w:widowControl/>
        <w:shd w:val="clear" w:color="auto" w:fill="F9F9F9"/>
        <w:jc w:val="left"/>
        <w:rPr>
          <w:rFonts w:ascii="Arial" w:hAnsi="Arial" w:eastAsia="宋体" w:cs="Arial"/>
          <w:kern w:val="0"/>
          <w:sz w:val="18"/>
          <w:szCs w:val="18"/>
        </w:rPr>
      </w:pPr>
      <w:r>
        <w:rPr>
          <w:rFonts w:ascii="Arial" w:hAnsi="Arial" w:eastAsia="宋体" w:cs="Arial"/>
          <w:b/>
          <w:bCs/>
          <w:kern w:val="0"/>
          <w:sz w:val="18"/>
          <w:szCs w:val="18"/>
        </w:rPr>
        <w:t> </w:t>
      </w:r>
    </w:p>
    <w:p>
      <w:pPr>
        <w:widowControl/>
        <w:shd w:val="clear" w:color="auto" w:fill="F9F9F9"/>
        <w:jc w:val="left"/>
        <w:rPr>
          <w:rFonts w:ascii="Arial" w:hAnsi="Arial" w:eastAsia="宋体" w:cs="Arial"/>
          <w:b/>
          <w:bCs/>
          <w:color w:val="575757"/>
          <w:kern w:val="0"/>
          <w:sz w:val="32"/>
          <w:szCs w:val="32"/>
        </w:rPr>
      </w:pPr>
      <w:r>
        <w:rPr>
          <w:rFonts w:ascii="Arial" w:hAnsi="Arial" w:eastAsia="宋体" w:cs="Arial"/>
          <w:b/>
          <w:bCs/>
          <w:color w:val="575757"/>
          <w:kern w:val="0"/>
          <w:sz w:val="32"/>
          <w:szCs w:val="32"/>
        </w:rPr>
        <w:t>防治污染设施的建设和运行情况</w:t>
      </w:r>
    </w:p>
    <w:p>
      <w:pPr>
        <w:widowControl/>
        <w:shd w:val="clear" w:color="auto" w:fill="F9F9F9"/>
        <w:jc w:val="left"/>
        <w:rPr>
          <w:rFonts w:ascii="Arial" w:hAnsi="Arial" w:eastAsia="宋体" w:cs="Arial"/>
          <w:kern w:val="0"/>
          <w:sz w:val="18"/>
          <w:szCs w:val="18"/>
        </w:rPr>
      </w:pPr>
      <w:r>
        <w:rPr>
          <w:rFonts w:hint="eastAsia" w:ascii="Arial" w:hAnsi="Arial" w:eastAsia="宋体" w:cs="Arial"/>
          <w:b/>
          <w:bCs/>
          <w:color w:val="575757"/>
          <w:kern w:val="0"/>
          <w:sz w:val="30"/>
          <w:szCs w:val="30"/>
        </w:rPr>
        <w:t>一、</w:t>
      </w:r>
      <w:r>
        <w:rPr>
          <w:rFonts w:ascii="Arial" w:hAnsi="Arial" w:eastAsia="宋体" w:cs="Arial"/>
          <w:b/>
          <w:bCs/>
          <w:color w:val="575757"/>
          <w:kern w:val="0"/>
          <w:sz w:val="30"/>
          <w:szCs w:val="30"/>
        </w:rPr>
        <w:t>防治污染设施的建设</w:t>
      </w:r>
    </w:p>
    <w:p>
      <w:pPr>
        <w:widowControl/>
        <w:shd w:val="clear" w:color="auto" w:fill="F9F9F9"/>
        <w:ind w:firstLine="600"/>
        <w:jc w:val="left"/>
        <w:rPr>
          <w:rFonts w:ascii="仿宋_GB2312" w:eastAsia="仿宋_GB2312"/>
          <w:sz w:val="32"/>
          <w:szCs w:val="32"/>
        </w:rPr>
      </w:pPr>
      <w:r>
        <w:rPr>
          <w:rFonts w:ascii="Arial" w:hAnsi="Arial" w:eastAsia="宋体" w:cs="Arial"/>
          <w:color w:val="575757"/>
          <w:kern w:val="0"/>
          <w:sz w:val="30"/>
          <w:szCs w:val="30"/>
        </w:rPr>
        <w:t>公</w:t>
      </w:r>
      <w:r>
        <w:rPr>
          <w:rFonts w:ascii="仿宋_GB2312" w:eastAsia="仿宋_GB2312"/>
          <w:sz w:val="32"/>
          <w:szCs w:val="32"/>
        </w:rPr>
        <w:t>司环保配套设施已按国家、行业有关标准配置齐全</w:t>
      </w:r>
      <w:r>
        <w:rPr>
          <w:rFonts w:hint="eastAsia" w:ascii="仿宋_GB2312" w:eastAsia="仿宋_GB2312"/>
          <w:sz w:val="32"/>
          <w:szCs w:val="32"/>
        </w:rPr>
        <w:t>，一期工程1号、2号机组于2009年建成，分别于2010年6月及2010年8月以环验〔2010〕134号、环验〔2010〕257号通过环境保护部项目竣工环境保护验收；3、4号机组分别于2014年4月14-15日华南督查中心组织广东省环保厅、阳江市环保局、阳西县环保局对3、4号机组进行了竣工环境保护现场检查并于2014年7月以环验〔2014〕132号通过环境保护部项目竣工环境保护验收</w:t>
      </w:r>
      <w:r>
        <w:rPr>
          <w:rFonts w:ascii="仿宋_GB2312" w:eastAsia="仿宋_GB2312"/>
          <w:sz w:val="32"/>
          <w:szCs w:val="32"/>
        </w:rPr>
        <w:t>。</w:t>
      </w:r>
      <w:r>
        <w:rPr>
          <w:rFonts w:hint="eastAsia" w:ascii="仿宋_GB2312" w:eastAsia="仿宋_GB2312"/>
          <w:sz w:val="32"/>
          <w:szCs w:val="32"/>
        </w:rPr>
        <w:t>#3、4机组于2016年8月30日-10月15日进行烟气超低排放改造，并于2016年12月以阳环建验〔2016〕89号通过阳江市环境保护局超低排放改造项目竣工环境保护验收；#1机组于2017年2月23日-5月12日进行烟气超低排放改造，并于2017年7月以阳环建验〔2017〕37号通过阳江市环境保护局超低排放改造项目竣工环境保护验收；#2机组于2017年9月5日-10月24日进行烟气超低排放改造，并于2017年11月27日组织召开自主验收会议，并取得会议专家组一致同意通过超低排放改造项目竣工环境保护验收。</w:t>
      </w:r>
      <w:r>
        <w:rPr>
          <w:rFonts w:hint="eastAsia" w:ascii="仿宋_GB2312" w:eastAsia="仿宋_GB2312"/>
          <w:sz w:val="32"/>
          <w:szCs w:val="32"/>
          <w:lang w:eastAsia="zh-CN"/>
        </w:rPr>
        <w:t>二期工程</w:t>
      </w:r>
      <w:r>
        <w:rPr>
          <w:rFonts w:hint="eastAsia" w:ascii="仿宋_GB2312" w:eastAsia="仿宋_GB2312"/>
          <w:sz w:val="32"/>
          <w:szCs w:val="32"/>
          <w:lang w:val="en-US" w:eastAsia="zh-CN"/>
        </w:rPr>
        <w:t>5号、6号机组分别于2020年7月12日、22日组织召开自主验收会议，</w:t>
      </w:r>
      <w:r>
        <w:rPr>
          <w:rFonts w:hint="eastAsia" w:ascii="仿宋_GB2312" w:eastAsia="仿宋_GB2312"/>
          <w:sz w:val="32"/>
          <w:szCs w:val="32"/>
        </w:rPr>
        <w:t>并取得会议专家组一致同意通过</w:t>
      </w:r>
      <w:r>
        <w:rPr>
          <w:rFonts w:hint="eastAsia" w:ascii="仿宋_GB2312" w:eastAsia="仿宋_GB2312"/>
          <w:sz w:val="32"/>
          <w:szCs w:val="32"/>
          <w:lang w:val="en-US" w:eastAsia="zh-CN"/>
        </w:rPr>
        <w:t>脱硝除尘脱硫设施竣工环境保护验收</w:t>
      </w:r>
      <w:r>
        <w:rPr>
          <w:rFonts w:hint="eastAsia" w:ascii="仿宋_GB2312" w:eastAsia="仿宋_GB2312"/>
          <w:sz w:val="32"/>
          <w:szCs w:val="32"/>
        </w:rPr>
        <w:t>。污染源烟气排放连续</w:t>
      </w:r>
      <w:r>
        <w:rPr>
          <w:rFonts w:ascii="仿宋_GB2312" w:eastAsia="仿宋_GB2312"/>
          <w:sz w:val="32"/>
          <w:szCs w:val="32"/>
        </w:rPr>
        <w:t>监测</w:t>
      </w:r>
      <w:r>
        <w:rPr>
          <w:rFonts w:hint="eastAsia" w:ascii="仿宋_GB2312" w:eastAsia="仿宋_GB2312"/>
          <w:sz w:val="32"/>
          <w:szCs w:val="32"/>
        </w:rPr>
        <w:t>系统</w:t>
      </w:r>
      <w:r>
        <w:rPr>
          <w:rFonts w:ascii="仿宋_GB2312" w:eastAsia="仿宋_GB2312"/>
          <w:sz w:val="32"/>
          <w:szCs w:val="32"/>
        </w:rPr>
        <w:t>安装运行正常，并与</w:t>
      </w:r>
      <w:r>
        <w:rPr>
          <w:rFonts w:hint="eastAsia" w:ascii="仿宋_GB2312" w:eastAsia="仿宋_GB2312"/>
          <w:sz w:val="32"/>
          <w:szCs w:val="32"/>
        </w:rPr>
        <w:t>广东省环保厅</w:t>
      </w:r>
      <w:r>
        <w:rPr>
          <w:rFonts w:ascii="仿宋_GB2312" w:eastAsia="仿宋_GB2312"/>
          <w:sz w:val="32"/>
          <w:szCs w:val="32"/>
        </w:rPr>
        <w:t>联网，</w:t>
      </w:r>
      <w:r>
        <w:rPr>
          <w:rFonts w:hint="eastAsia" w:ascii="仿宋_GB2312" w:eastAsia="仿宋_GB2312"/>
          <w:sz w:val="32"/>
          <w:szCs w:val="32"/>
        </w:rPr>
        <w:t>实时传送排污情况，每月地方环境监察部门对公司环保设施的运行情况进行检查，</w:t>
      </w:r>
      <w:r>
        <w:rPr>
          <w:rFonts w:ascii="仿宋_GB2312" w:eastAsia="仿宋_GB2312"/>
          <w:sz w:val="32"/>
          <w:szCs w:val="32"/>
        </w:rPr>
        <w:t>环境监测</w:t>
      </w:r>
      <w:r>
        <w:rPr>
          <w:rFonts w:hint="eastAsia" w:ascii="仿宋_GB2312" w:eastAsia="仿宋_GB2312"/>
          <w:sz w:val="32"/>
          <w:szCs w:val="32"/>
        </w:rPr>
        <w:t>部门</w:t>
      </w:r>
      <w:r>
        <w:rPr>
          <w:rFonts w:ascii="仿宋_GB2312" w:eastAsia="仿宋_GB2312"/>
          <w:sz w:val="32"/>
          <w:szCs w:val="32"/>
        </w:rPr>
        <w:t>对公司环保设施的运行情况</w:t>
      </w:r>
      <w:r>
        <w:rPr>
          <w:rFonts w:hint="eastAsia" w:ascii="仿宋_GB2312" w:eastAsia="仿宋_GB2312"/>
          <w:sz w:val="32"/>
          <w:szCs w:val="32"/>
        </w:rPr>
        <w:t>及在线仪进行监督性监测。</w:t>
      </w:r>
      <w:r>
        <w:rPr>
          <w:rFonts w:ascii="仿宋_GB2312" w:eastAsia="仿宋_GB2312"/>
          <w:sz w:val="32"/>
          <w:szCs w:val="32"/>
        </w:rPr>
        <w:t>主要环保设施具体如下：</w:t>
      </w:r>
    </w:p>
    <w:p>
      <w:pPr>
        <w:widowControl/>
        <w:shd w:val="clear" w:color="auto" w:fill="F9F9F9"/>
        <w:ind w:firstLine="600"/>
        <w:jc w:val="left"/>
        <w:rPr>
          <w:rFonts w:ascii="仿宋_GB2312" w:eastAsia="仿宋_GB2312"/>
          <w:sz w:val="32"/>
          <w:szCs w:val="32"/>
        </w:rPr>
      </w:pPr>
      <w:r>
        <w:rPr>
          <w:rFonts w:hint="eastAsia" w:ascii="仿宋_GB2312" w:eastAsia="仿宋_GB2312"/>
          <w:sz w:val="32"/>
          <w:szCs w:val="32"/>
        </w:rPr>
        <w:t>电除尘设施</w:t>
      </w:r>
      <w:r>
        <w:rPr>
          <w:rFonts w:hint="eastAsia" w:ascii="仿宋_GB2312" w:eastAsia="仿宋_GB2312"/>
          <w:sz w:val="32"/>
          <w:szCs w:val="32"/>
          <w:lang w:val="en-US" w:eastAsia="zh-CN"/>
        </w:rPr>
        <w:t>6</w:t>
      </w:r>
      <w:r>
        <w:rPr>
          <w:rFonts w:hint="eastAsia" w:ascii="仿宋_GB2312" w:eastAsia="仿宋_GB2312"/>
          <w:sz w:val="32"/>
          <w:szCs w:val="32"/>
        </w:rPr>
        <w:t>套，选择性催化还原法脱硝设施</w:t>
      </w:r>
      <w:r>
        <w:rPr>
          <w:rFonts w:hint="eastAsia" w:ascii="仿宋_GB2312" w:eastAsia="仿宋_GB2312"/>
          <w:sz w:val="32"/>
          <w:szCs w:val="32"/>
          <w:lang w:val="en-US" w:eastAsia="zh-CN"/>
        </w:rPr>
        <w:t>6</w:t>
      </w:r>
      <w:r>
        <w:rPr>
          <w:rFonts w:hint="eastAsia" w:ascii="仿宋_GB2312" w:eastAsia="仿宋_GB2312"/>
          <w:sz w:val="32"/>
          <w:szCs w:val="32"/>
        </w:rPr>
        <w:t>套，石灰石-石膏湿法脱硫设施</w:t>
      </w:r>
      <w:r>
        <w:rPr>
          <w:rFonts w:hint="eastAsia" w:ascii="仿宋_GB2312" w:eastAsia="仿宋_GB2312"/>
          <w:sz w:val="32"/>
          <w:szCs w:val="32"/>
          <w:lang w:val="en-US" w:eastAsia="zh-CN"/>
        </w:rPr>
        <w:t>6</w:t>
      </w:r>
      <w:r>
        <w:rPr>
          <w:rFonts w:hint="eastAsia" w:ascii="仿宋_GB2312" w:eastAsia="仿宋_GB2312"/>
          <w:sz w:val="32"/>
          <w:szCs w:val="32"/>
        </w:rPr>
        <w:t>套，污水治理设施</w:t>
      </w:r>
      <w:r>
        <w:rPr>
          <w:rFonts w:hint="eastAsia" w:ascii="仿宋_GB2312" w:eastAsia="仿宋_GB2312"/>
          <w:sz w:val="32"/>
          <w:szCs w:val="32"/>
          <w:lang w:val="en-US" w:eastAsia="zh-CN"/>
        </w:rPr>
        <w:t>6</w:t>
      </w:r>
      <w:r>
        <w:rPr>
          <w:rFonts w:hint="eastAsia" w:ascii="仿宋_GB2312" w:eastAsia="仿宋_GB2312"/>
          <w:sz w:val="32"/>
          <w:szCs w:val="32"/>
        </w:rPr>
        <w:t>套</w:t>
      </w:r>
      <w:r>
        <w:rPr>
          <w:rFonts w:ascii="仿宋_GB2312" w:eastAsia="仿宋_GB2312"/>
          <w:sz w:val="32"/>
          <w:szCs w:val="32"/>
        </w:rPr>
        <w:t>。</w:t>
      </w:r>
    </w:p>
    <w:p>
      <w:pPr>
        <w:widowControl/>
        <w:shd w:val="clear" w:color="auto" w:fill="F9F9F9"/>
        <w:ind w:firstLine="600"/>
        <w:jc w:val="left"/>
        <w:rPr>
          <w:rFonts w:ascii="仿宋_GB2312" w:eastAsia="仿宋_GB2312"/>
          <w:sz w:val="32"/>
          <w:szCs w:val="32"/>
        </w:rPr>
      </w:pPr>
      <w:r>
        <w:rPr>
          <w:rFonts w:ascii="仿宋_GB2312" w:eastAsia="仿宋_GB2312"/>
          <w:sz w:val="32"/>
          <w:szCs w:val="32"/>
        </w:rPr>
        <w:t>废气</w:t>
      </w:r>
      <w:r>
        <w:rPr>
          <w:rFonts w:hint="eastAsia" w:ascii="仿宋_GB2312" w:eastAsia="仿宋_GB2312"/>
          <w:sz w:val="32"/>
          <w:szCs w:val="32"/>
        </w:rPr>
        <w:t>、</w:t>
      </w:r>
      <w:r>
        <w:rPr>
          <w:rFonts w:ascii="仿宋_GB2312" w:eastAsia="仿宋_GB2312"/>
          <w:sz w:val="32"/>
          <w:szCs w:val="32"/>
        </w:rPr>
        <w:t>废</w:t>
      </w:r>
      <w:r>
        <w:rPr>
          <w:rFonts w:hint="eastAsia" w:ascii="仿宋_GB2312" w:eastAsia="仿宋_GB2312"/>
          <w:sz w:val="32"/>
          <w:szCs w:val="32"/>
        </w:rPr>
        <w:t>水</w:t>
      </w:r>
      <w:r>
        <w:rPr>
          <w:rFonts w:ascii="仿宋_GB2312" w:eastAsia="仿宋_GB2312"/>
          <w:sz w:val="32"/>
          <w:szCs w:val="32"/>
        </w:rPr>
        <w:t>处理及排放情况：</w:t>
      </w:r>
    </w:p>
    <w:p>
      <w:pPr>
        <w:widowControl/>
        <w:shd w:val="clear" w:color="auto" w:fill="F9F9F9"/>
        <w:jc w:val="left"/>
        <w:rPr>
          <w:rFonts w:ascii="Arial" w:hAnsi="Arial" w:eastAsia="宋体" w:cs="Arial"/>
          <w:kern w:val="0"/>
          <w:sz w:val="18"/>
          <w:szCs w:val="18"/>
        </w:rPr>
      </w:pPr>
      <w:r>
        <w:rPr>
          <w:rFonts w:ascii="Arial" w:hAnsi="Arial" w:eastAsia="宋体" w:cs="Arial"/>
          <w:b/>
          <w:bCs/>
          <w:kern w:val="0"/>
          <w:sz w:val="18"/>
          <w:szCs w:val="18"/>
        </w:rPr>
        <w:object>
          <v:shape id="_x0000_i1025" o:spt="75" type="#_x0000_t75" style="height:360pt;width:445.5pt;" o:ole="t" filled="f" o:preferrelative="t" stroked="f" coordsize="21600,21600">
            <v:path/>
            <v:fill on="f" focussize="0,0"/>
            <v:stroke on="f" joinstyle="miter"/>
            <v:imagedata r:id="rId5" cropleft="20723f" croptop="18529f" cropright="14543f" cropbottom="6851f" o:title=""/>
            <o:lock v:ext="edit" aspectratio="t"/>
            <w10:wrap type="none"/>
            <w10:anchorlock/>
          </v:shape>
          <o:OLEObject Type="Embed" ProgID="AutoCAD.Drawing.17" ShapeID="_x0000_i1025" DrawAspect="Content" ObjectID="_1468075725" r:id="rId4">
            <o:LockedField>false</o:LockedField>
          </o:OLEObject>
        </w:object>
      </w:r>
      <w:r>
        <w:rPr>
          <w:rFonts w:ascii="Arial" w:hAnsi="Arial" w:eastAsia="宋体" w:cs="Arial"/>
          <w:b/>
          <w:bCs/>
          <w:kern w:val="0"/>
          <w:sz w:val="18"/>
          <w:szCs w:val="18"/>
        </w:rPr>
        <w:t> </w:t>
      </w:r>
    </w:p>
    <w:p>
      <w:pPr>
        <w:rPr>
          <w:rFonts w:ascii="Arial" w:hAnsi="Arial" w:eastAsia="宋体" w:cs="Arial"/>
          <w:b/>
          <w:bCs/>
          <w:color w:val="575757"/>
          <w:kern w:val="0"/>
          <w:sz w:val="30"/>
          <w:szCs w:val="30"/>
        </w:rPr>
      </w:pPr>
      <w:r>
        <w:rPr>
          <w:rFonts w:hint="eastAsia" w:ascii="Arial" w:hAnsi="Arial" w:eastAsia="宋体" w:cs="Arial"/>
          <w:b/>
          <w:bCs/>
          <w:color w:val="575757"/>
          <w:kern w:val="0"/>
          <w:sz w:val="30"/>
          <w:szCs w:val="30"/>
        </w:rPr>
        <w:t>二：环保设施</w:t>
      </w:r>
      <w:r>
        <w:rPr>
          <w:rFonts w:ascii="Arial" w:hAnsi="Arial" w:eastAsia="宋体" w:cs="Arial"/>
          <w:b/>
          <w:bCs/>
          <w:color w:val="575757"/>
          <w:kern w:val="0"/>
          <w:sz w:val="30"/>
          <w:szCs w:val="30"/>
        </w:rPr>
        <w:t>运行情况</w:t>
      </w:r>
    </w:p>
    <w:p>
      <w:pPr>
        <w:rPr>
          <w:rFonts w:ascii="Arial" w:hAnsi="Arial" w:eastAsia="宋体" w:cs="Arial"/>
          <w:b/>
          <w:bCs/>
          <w:color w:val="575757"/>
          <w:kern w:val="0"/>
          <w:sz w:val="30"/>
          <w:szCs w:val="30"/>
        </w:rPr>
      </w:pPr>
      <w:r>
        <w:rPr>
          <w:rFonts w:hint="eastAsia" w:ascii="Arial" w:hAnsi="Arial" w:eastAsia="宋体" w:cs="Arial"/>
          <w:b/>
          <w:bCs/>
          <w:color w:val="575757"/>
          <w:kern w:val="0"/>
          <w:sz w:val="30"/>
          <w:szCs w:val="30"/>
        </w:rPr>
        <w:t xml:space="preserve"> </w:t>
      </w:r>
      <w:r>
        <w:rPr>
          <w:rFonts w:hint="eastAsia" w:ascii="仿宋_GB2312" w:eastAsia="仿宋_GB2312"/>
          <w:sz w:val="32"/>
          <w:szCs w:val="32"/>
        </w:rPr>
        <w:t xml:space="preserve"> 20</w:t>
      </w:r>
      <w:r>
        <w:rPr>
          <w:rFonts w:hint="eastAsia" w:ascii="仿宋_GB2312" w:eastAsia="仿宋_GB2312"/>
          <w:sz w:val="32"/>
          <w:szCs w:val="32"/>
          <w:lang w:val="en-US" w:eastAsia="zh-CN"/>
        </w:rPr>
        <w:t>20</w:t>
      </w:r>
      <w:r>
        <w:rPr>
          <w:rFonts w:hint="eastAsia" w:ascii="仿宋_GB2312" w:eastAsia="仿宋_GB2312"/>
          <w:sz w:val="32"/>
          <w:szCs w:val="32"/>
        </w:rPr>
        <w:t>年环保设施稳定运行</w:t>
      </w:r>
      <w:r>
        <w:rPr>
          <w:rFonts w:hint="eastAsia" w:ascii="Arial" w:hAnsi="Arial" w:eastAsia="宋体" w:cs="Arial"/>
          <w:b/>
          <w:bCs/>
          <w:color w:val="575757"/>
          <w:kern w:val="0"/>
          <w:sz w:val="30"/>
          <w:szCs w:val="30"/>
        </w:rPr>
        <w:t>，</w:t>
      </w:r>
    </w:p>
    <w:p>
      <w:pPr>
        <w:widowControl/>
        <w:numPr>
          <w:ilvl w:val="0"/>
          <w:numId w:val="1"/>
        </w:numPr>
        <w:rPr>
          <w:rFonts w:ascii="仿宋_GB2312" w:eastAsia="仿宋_GB2312"/>
          <w:sz w:val="32"/>
          <w:szCs w:val="32"/>
        </w:rPr>
      </w:pPr>
      <w:r>
        <w:rPr>
          <w:rFonts w:hint="eastAsia" w:ascii="仿宋_GB2312" w:eastAsia="仿宋_GB2312"/>
          <w:sz w:val="32"/>
          <w:szCs w:val="32"/>
        </w:rPr>
        <w:t>加强电除尘设施的日常维护，全年电除尘设施投运率为100%，排放浓度年平均为</w:t>
      </w:r>
      <w:r>
        <w:rPr>
          <w:rFonts w:hint="eastAsia" w:ascii="仿宋_GB2312" w:eastAsia="仿宋_GB2312"/>
          <w:sz w:val="32"/>
          <w:szCs w:val="32"/>
          <w:lang w:val="en-US" w:eastAsia="zh-CN"/>
        </w:rPr>
        <w:t>2.01</w:t>
      </w:r>
      <w:r>
        <w:rPr>
          <w:rFonts w:ascii="仿宋_GB2312" w:eastAsia="仿宋_GB2312"/>
          <w:sz w:val="32"/>
          <w:szCs w:val="32"/>
        </w:rPr>
        <w:t>mg/Nm</w:t>
      </w:r>
      <w:r>
        <w:rPr>
          <w:rFonts w:ascii="仿宋_GB2312" w:eastAsia="仿宋_GB2312"/>
          <w:sz w:val="32"/>
          <w:szCs w:val="32"/>
          <w:vertAlign w:val="superscript"/>
        </w:rPr>
        <w:t>3</w:t>
      </w:r>
      <w:r>
        <w:rPr>
          <w:rFonts w:hint="eastAsia" w:ascii="仿宋_GB2312" w:eastAsia="仿宋_GB2312"/>
          <w:sz w:val="32"/>
          <w:szCs w:val="32"/>
        </w:rPr>
        <w:t>，年排放总量</w:t>
      </w:r>
      <w:r>
        <w:rPr>
          <w:rFonts w:hint="eastAsia" w:ascii="仿宋_GB2312" w:eastAsia="仿宋_GB2312"/>
          <w:sz w:val="32"/>
          <w:szCs w:val="32"/>
          <w:lang w:val="en-US" w:eastAsia="zh-CN"/>
        </w:rPr>
        <w:t>89</w:t>
      </w:r>
      <w:r>
        <w:rPr>
          <w:rFonts w:hint="eastAsia" w:ascii="仿宋_GB2312" w:eastAsia="仿宋_GB2312"/>
          <w:sz w:val="32"/>
          <w:szCs w:val="32"/>
        </w:rPr>
        <w:t>吨,远低于环保部门下达的排放总量指标（</w:t>
      </w:r>
      <w:r>
        <w:rPr>
          <w:rFonts w:hint="eastAsia" w:ascii="仿宋_GB2312" w:eastAsia="仿宋_GB2312"/>
          <w:sz w:val="32"/>
          <w:szCs w:val="32"/>
          <w:lang w:val="en-US" w:eastAsia="zh-CN"/>
        </w:rPr>
        <w:t>1694</w:t>
      </w:r>
      <w:r>
        <w:rPr>
          <w:rFonts w:hint="eastAsia" w:ascii="仿宋_GB2312" w:eastAsia="仿宋_GB2312"/>
          <w:sz w:val="32"/>
          <w:szCs w:val="32"/>
        </w:rPr>
        <w:t>吨/年），排放总量比20</w:t>
      </w:r>
      <w:r>
        <w:rPr>
          <w:rFonts w:hint="eastAsia" w:ascii="仿宋_GB2312" w:eastAsia="仿宋_GB2312"/>
          <w:sz w:val="32"/>
          <w:szCs w:val="32"/>
          <w:lang w:val="en-US" w:eastAsia="zh-CN"/>
        </w:rPr>
        <w:t>19</w:t>
      </w:r>
      <w:r>
        <w:rPr>
          <w:rFonts w:hint="eastAsia" w:ascii="仿宋_GB2312" w:eastAsia="仿宋_GB2312"/>
          <w:sz w:val="32"/>
          <w:szCs w:val="32"/>
        </w:rPr>
        <w:t>年减少</w:t>
      </w:r>
      <w:r>
        <w:rPr>
          <w:rFonts w:hint="eastAsia" w:ascii="仿宋_GB2312" w:eastAsia="仿宋_GB2312"/>
          <w:sz w:val="32"/>
          <w:szCs w:val="32"/>
          <w:lang w:val="en-US" w:eastAsia="zh-CN"/>
        </w:rPr>
        <w:t>4.15</w:t>
      </w:r>
      <w:r>
        <w:rPr>
          <w:rFonts w:hint="eastAsia" w:ascii="仿宋_GB2312" w:eastAsia="仿宋_GB2312"/>
          <w:sz w:val="32"/>
          <w:szCs w:val="32"/>
        </w:rPr>
        <w:t>吨。</w:t>
      </w:r>
    </w:p>
    <w:p>
      <w:pPr>
        <w:widowControl/>
        <w:numPr>
          <w:ilvl w:val="0"/>
          <w:numId w:val="1"/>
        </w:numPr>
        <w:rPr>
          <w:rFonts w:ascii="仿宋_GB2312" w:eastAsia="仿宋_GB2312"/>
          <w:sz w:val="32"/>
          <w:szCs w:val="32"/>
        </w:rPr>
      </w:pPr>
      <w:r>
        <w:rPr>
          <w:rFonts w:hint="eastAsia" w:ascii="仿宋_GB2312" w:eastAsia="仿宋_GB2312"/>
          <w:sz w:val="32"/>
          <w:szCs w:val="32"/>
        </w:rPr>
        <w:t>加强脱硫设施的日常维护，全年脱硫设施的投运率达100%，脱硫效率为</w:t>
      </w:r>
      <w:r>
        <w:rPr>
          <w:rFonts w:hint="eastAsia" w:ascii="仿宋_GB2312" w:eastAsia="仿宋_GB2312"/>
          <w:sz w:val="32"/>
          <w:szCs w:val="32"/>
          <w:lang w:val="en-US" w:eastAsia="zh-CN"/>
        </w:rPr>
        <w:t>98.81</w:t>
      </w:r>
      <w:r>
        <w:rPr>
          <w:rFonts w:hint="eastAsia" w:ascii="仿宋_GB2312" w:eastAsia="仿宋_GB2312"/>
          <w:sz w:val="32"/>
          <w:szCs w:val="32"/>
        </w:rPr>
        <w:t>%，排放浓度年平均为</w:t>
      </w:r>
      <w:r>
        <w:rPr>
          <w:rFonts w:hint="eastAsia" w:ascii="仿宋_GB2312" w:eastAsia="仿宋_GB2312"/>
          <w:sz w:val="32"/>
          <w:szCs w:val="32"/>
          <w:lang w:val="en-US" w:eastAsia="zh-CN"/>
        </w:rPr>
        <w:t>16.48</w:t>
      </w:r>
      <w:r>
        <w:rPr>
          <w:rFonts w:ascii="仿宋_GB2312" w:eastAsia="仿宋_GB2312"/>
          <w:sz w:val="32"/>
          <w:szCs w:val="32"/>
        </w:rPr>
        <w:t>mg/Nm</w:t>
      </w:r>
      <w:r>
        <w:rPr>
          <w:rFonts w:ascii="仿宋_GB2312" w:eastAsia="仿宋_GB2312"/>
          <w:sz w:val="32"/>
          <w:szCs w:val="32"/>
          <w:vertAlign w:val="superscript"/>
        </w:rPr>
        <w:t>3</w:t>
      </w:r>
      <w:r>
        <w:rPr>
          <w:rFonts w:hint="eastAsia" w:ascii="仿宋_GB2312" w:eastAsia="仿宋_GB2312"/>
          <w:sz w:val="32"/>
          <w:szCs w:val="32"/>
        </w:rPr>
        <w:t>，年排放总量为</w:t>
      </w:r>
      <w:r>
        <w:rPr>
          <w:rFonts w:hint="eastAsia" w:ascii="仿宋_GB2312" w:eastAsia="仿宋_GB2312"/>
          <w:sz w:val="32"/>
          <w:szCs w:val="32"/>
          <w:lang w:val="en-US" w:eastAsia="zh-CN"/>
        </w:rPr>
        <w:t>745.8</w:t>
      </w:r>
      <w:r>
        <w:rPr>
          <w:rFonts w:hint="eastAsia" w:ascii="仿宋_GB2312" w:eastAsia="仿宋_GB2312"/>
          <w:sz w:val="32"/>
          <w:szCs w:val="32"/>
        </w:rPr>
        <w:t>吨，排放浓度及总量均远低于国家标准（200</w:t>
      </w:r>
      <w:r>
        <w:rPr>
          <w:rFonts w:ascii="仿宋_GB2312" w:eastAsia="仿宋_GB2312"/>
          <w:sz w:val="32"/>
          <w:szCs w:val="32"/>
        </w:rPr>
        <w:t xml:space="preserve"> mg/m</w:t>
      </w:r>
      <w:r>
        <w:rPr>
          <w:rFonts w:ascii="仿宋_GB2312" w:eastAsia="仿宋_GB2312"/>
          <w:sz w:val="32"/>
          <w:szCs w:val="32"/>
          <w:vertAlign w:val="superscript"/>
        </w:rPr>
        <w:t>3</w:t>
      </w:r>
      <w:r>
        <w:rPr>
          <w:rFonts w:hint="eastAsia" w:ascii="仿宋_GB2312" w:eastAsia="仿宋_GB2312"/>
          <w:sz w:val="32"/>
          <w:szCs w:val="32"/>
        </w:rPr>
        <w:t>）和环保部门下达的排放总量指标（</w:t>
      </w:r>
      <w:r>
        <w:rPr>
          <w:rFonts w:hint="eastAsia" w:ascii="仿宋_GB2312" w:eastAsia="仿宋_GB2312"/>
          <w:sz w:val="32"/>
          <w:szCs w:val="32"/>
          <w:lang w:val="en-US" w:eastAsia="zh-CN"/>
        </w:rPr>
        <w:t>3016</w:t>
      </w:r>
      <w:r>
        <w:rPr>
          <w:rFonts w:hint="eastAsia" w:ascii="仿宋_GB2312" w:eastAsia="仿宋_GB2312"/>
          <w:sz w:val="32"/>
          <w:szCs w:val="32"/>
        </w:rPr>
        <w:t>吨/年）。</w:t>
      </w:r>
    </w:p>
    <w:p>
      <w:pPr>
        <w:widowControl/>
        <w:numPr>
          <w:ilvl w:val="0"/>
          <w:numId w:val="1"/>
        </w:numPr>
        <w:rPr>
          <w:rFonts w:ascii="仿宋_GB2312" w:eastAsia="仿宋_GB2312"/>
          <w:sz w:val="32"/>
          <w:szCs w:val="32"/>
        </w:rPr>
      </w:pPr>
      <w:r>
        <w:rPr>
          <w:rFonts w:hint="eastAsia" w:ascii="仿宋_GB2312" w:eastAsia="仿宋_GB2312"/>
          <w:sz w:val="32"/>
          <w:szCs w:val="32"/>
        </w:rPr>
        <w:t>为进一步提高脱硝效率和脱硝设施的投运率，我司积极进行一系列的技改和优化运行参数，使得脱硝设施的投运率达99.</w:t>
      </w:r>
      <w:r>
        <w:rPr>
          <w:rFonts w:hint="eastAsia" w:ascii="仿宋_GB2312" w:eastAsia="仿宋_GB2312"/>
          <w:sz w:val="32"/>
          <w:szCs w:val="32"/>
          <w:lang w:val="en-US" w:eastAsia="zh-CN"/>
        </w:rPr>
        <w:t>66</w:t>
      </w:r>
      <w:r>
        <w:rPr>
          <w:rFonts w:hint="eastAsia" w:ascii="仿宋_GB2312" w:eastAsia="仿宋_GB2312"/>
          <w:sz w:val="32"/>
          <w:szCs w:val="32"/>
        </w:rPr>
        <w:t>%，全年没有因为负荷低而退出脱硝系统的运行，综合脱硝效率为</w:t>
      </w:r>
      <w:r>
        <w:rPr>
          <w:rFonts w:hint="eastAsia" w:ascii="仿宋_GB2312" w:eastAsia="仿宋_GB2312"/>
          <w:sz w:val="32"/>
          <w:szCs w:val="32"/>
          <w:lang w:val="en-US" w:eastAsia="zh-CN"/>
        </w:rPr>
        <w:t>84.25</w:t>
      </w:r>
      <w:r>
        <w:rPr>
          <w:rFonts w:hint="eastAsia" w:ascii="仿宋_GB2312" w:eastAsia="仿宋_GB2312"/>
          <w:sz w:val="32"/>
          <w:szCs w:val="32"/>
        </w:rPr>
        <w:t>%，排放浓度年平均为</w:t>
      </w:r>
      <w:r>
        <w:rPr>
          <w:rFonts w:hint="eastAsia" w:ascii="仿宋_GB2312" w:eastAsia="仿宋_GB2312"/>
          <w:sz w:val="32"/>
          <w:szCs w:val="32"/>
          <w:lang w:val="en-US" w:eastAsia="zh-CN"/>
        </w:rPr>
        <w:t>31.57</w:t>
      </w:r>
      <w:r>
        <w:rPr>
          <w:rFonts w:ascii="仿宋_GB2312" w:eastAsia="仿宋_GB2312"/>
          <w:sz w:val="32"/>
          <w:szCs w:val="32"/>
        </w:rPr>
        <w:t>mg/m</w:t>
      </w:r>
      <w:r>
        <w:rPr>
          <w:rFonts w:ascii="仿宋_GB2312" w:eastAsia="仿宋_GB2312"/>
          <w:sz w:val="32"/>
          <w:szCs w:val="32"/>
          <w:vertAlign w:val="superscript"/>
        </w:rPr>
        <w:t>3</w:t>
      </w:r>
      <w:r>
        <w:rPr>
          <w:rFonts w:hint="eastAsia" w:ascii="仿宋_GB2312" w:eastAsia="仿宋_GB2312"/>
          <w:sz w:val="32"/>
          <w:szCs w:val="32"/>
        </w:rPr>
        <w:t>，年排放总量为</w:t>
      </w:r>
      <w:r>
        <w:rPr>
          <w:rFonts w:hint="eastAsia" w:ascii="仿宋_GB2312" w:eastAsia="仿宋_GB2312"/>
          <w:sz w:val="32"/>
          <w:szCs w:val="32"/>
          <w:lang w:val="en-US" w:eastAsia="zh-CN"/>
        </w:rPr>
        <w:t>1379</w:t>
      </w:r>
      <w:r>
        <w:rPr>
          <w:rFonts w:hint="eastAsia" w:ascii="仿宋_GB2312" w:eastAsia="仿宋_GB2312"/>
          <w:sz w:val="32"/>
          <w:szCs w:val="32"/>
        </w:rPr>
        <w:t>吨，远低于环保部门下达的排放总量指标（</w:t>
      </w:r>
      <w:r>
        <w:rPr>
          <w:rFonts w:hint="eastAsia" w:ascii="仿宋_GB2312" w:eastAsia="仿宋_GB2312"/>
          <w:sz w:val="32"/>
          <w:szCs w:val="32"/>
          <w:lang w:val="en-US" w:eastAsia="zh-CN"/>
        </w:rPr>
        <w:t>4174</w:t>
      </w:r>
      <w:r>
        <w:rPr>
          <w:rFonts w:hint="eastAsia" w:ascii="仿宋_GB2312" w:eastAsia="仿宋_GB2312"/>
          <w:sz w:val="32"/>
          <w:szCs w:val="32"/>
        </w:rPr>
        <w:t>吨/年）。</w:t>
      </w:r>
    </w:p>
    <w:p>
      <w:pPr>
        <w:widowControl/>
        <w:ind w:left="987"/>
        <w:rPr>
          <w:rFonts w:ascii="仿宋_GB2312" w:eastAsia="仿宋_GB2312"/>
          <w:sz w:val="32"/>
          <w:szCs w:val="32"/>
        </w:rPr>
      </w:pPr>
      <w:r>
        <w:rPr>
          <w:rFonts w:hint="eastAsia" w:ascii="仿宋_GB2312" w:eastAsia="仿宋_GB2312"/>
          <w:sz w:val="32"/>
          <w:szCs w:val="32"/>
        </w:rPr>
        <w:t>表一：</w:t>
      </w:r>
    </w:p>
    <w:tbl>
      <w:tblPr>
        <w:tblStyle w:val="7"/>
        <w:tblW w:w="0" w:type="auto"/>
        <w:tblInd w:w="9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4"/>
        <w:gridCol w:w="1883"/>
        <w:gridCol w:w="1884"/>
        <w:gridCol w:w="1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tcPr>
          <w:p>
            <w:pPr>
              <w:widowControl/>
              <w:jc w:val="center"/>
              <w:rPr>
                <w:rFonts w:ascii="仿宋_GB2312" w:eastAsia="仿宋_GB2312"/>
                <w:sz w:val="30"/>
                <w:szCs w:val="30"/>
              </w:rPr>
            </w:pPr>
            <w:r>
              <w:rPr>
                <w:rFonts w:hint="eastAsia" w:ascii="仿宋_GB2312" w:eastAsia="仿宋_GB2312"/>
                <w:sz w:val="30"/>
                <w:szCs w:val="30"/>
              </w:rPr>
              <w:t>项目</w:t>
            </w:r>
          </w:p>
        </w:tc>
        <w:tc>
          <w:tcPr>
            <w:tcW w:w="1883" w:type="dxa"/>
          </w:tcPr>
          <w:p>
            <w:pPr>
              <w:widowControl/>
              <w:jc w:val="center"/>
              <w:rPr>
                <w:rFonts w:ascii="仿宋_GB2312" w:eastAsia="仿宋_GB2312"/>
                <w:sz w:val="30"/>
                <w:szCs w:val="30"/>
              </w:rPr>
            </w:pPr>
            <w:r>
              <w:rPr>
                <w:rFonts w:hint="eastAsia" w:ascii="仿宋_GB2312" w:eastAsia="仿宋_GB2312"/>
                <w:sz w:val="30"/>
                <w:szCs w:val="30"/>
              </w:rPr>
              <w:t>除尘系统</w:t>
            </w:r>
          </w:p>
        </w:tc>
        <w:tc>
          <w:tcPr>
            <w:tcW w:w="1884" w:type="dxa"/>
          </w:tcPr>
          <w:p>
            <w:pPr>
              <w:widowControl/>
              <w:jc w:val="center"/>
              <w:rPr>
                <w:rFonts w:ascii="仿宋_GB2312" w:eastAsia="仿宋_GB2312"/>
                <w:sz w:val="30"/>
                <w:szCs w:val="30"/>
              </w:rPr>
            </w:pPr>
            <w:r>
              <w:rPr>
                <w:rFonts w:hint="eastAsia" w:ascii="仿宋_GB2312" w:eastAsia="仿宋_GB2312"/>
                <w:sz w:val="30"/>
                <w:szCs w:val="30"/>
              </w:rPr>
              <w:t>脱硝系统</w:t>
            </w:r>
          </w:p>
        </w:tc>
        <w:tc>
          <w:tcPr>
            <w:tcW w:w="1884" w:type="dxa"/>
          </w:tcPr>
          <w:p>
            <w:pPr>
              <w:widowControl/>
              <w:jc w:val="center"/>
              <w:rPr>
                <w:rFonts w:ascii="仿宋_GB2312" w:eastAsia="仿宋_GB2312"/>
                <w:sz w:val="30"/>
                <w:szCs w:val="30"/>
              </w:rPr>
            </w:pPr>
            <w:r>
              <w:rPr>
                <w:rFonts w:hint="eastAsia" w:ascii="仿宋_GB2312" w:eastAsia="仿宋_GB2312"/>
                <w:sz w:val="30"/>
                <w:szCs w:val="30"/>
              </w:rPr>
              <w:t>脱硫系统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tcPr>
          <w:p>
            <w:pPr>
              <w:widowControl/>
              <w:jc w:val="center"/>
              <w:rPr>
                <w:rFonts w:ascii="仿宋_GB2312" w:eastAsia="仿宋_GB2312"/>
                <w:sz w:val="30"/>
                <w:szCs w:val="30"/>
              </w:rPr>
            </w:pPr>
            <w:r>
              <w:rPr>
                <w:rFonts w:hint="eastAsia" w:ascii="仿宋_GB2312" w:eastAsia="仿宋_GB2312"/>
                <w:sz w:val="30"/>
                <w:szCs w:val="30"/>
              </w:rPr>
              <w:t>投运率(%)</w:t>
            </w:r>
          </w:p>
        </w:tc>
        <w:tc>
          <w:tcPr>
            <w:tcW w:w="1883" w:type="dxa"/>
          </w:tcPr>
          <w:p>
            <w:pPr>
              <w:widowControl/>
              <w:jc w:val="center"/>
              <w:rPr>
                <w:rFonts w:ascii="仿宋_GB2312" w:eastAsia="仿宋_GB2312"/>
                <w:sz w:val="30"/>
                <w:szCs w:val="30"/>
              </w:rPr>
            </w:pPr>
            <w:r>
              <w:rPr>
                <w:rFonts w:hint="eastAsia" w:ascii="仿宋_GB2312" w:eastAsia="仿宋_GB2312"/>
                <w:sz w:val="30"/>
                <w:szCs w:val="30"/>
              </w:rPr>
              <w:t>100</w:t>
            </w:r>
          </w:p>
        </w:tc>
        <w:tc>
          <w:tcPr>
            <w:tcW w:w="1884" w:type="dxa"/>
          </w:tcPr>
          <w:p>
            <w:pPr>
              <w:widowControl/>
              <w:jc w:val="center"/>
              <w:rPr>
                <w:rFonts w:hint="default" w:ascii="仿宋_GB2312" w:eastAsia="仿宋_GB2312"/>
                <w:sz w:val="30"/>
                <w:szCs w:val="30"/>
                <w:lang w:val="en-US" w:eastAsia="zh-CN"/>
              </w:rPr>
            </w:pPr>
            <w:r>
              <w:rPr>
                <w:rFonts w:hint="eastAsia" w:ascii="仿宋_GB2312" w:eastAsia="仿宋_GB2312"/>
                <w:sz w:val="30"/>
                <w:szCs w:val="30"/>
              </w:rPr>
              <w:t>99.</w:t>
            </w:r>
            <w:r>
              <w:rPr>
                <w:rFonts w:hint="eastAsia" w:ascii="仿宋_GB2312" w:eastAsia="仿宋_GB2312"/>
                <w:sz w:val="30"/>
                <w:szCs w:val="30"/>
                <w:lang w:val="en-US" w:eastAsia="zh-CN"/>
              </w:rPr>
              <w:t>66</w:t>
            </w:r>
          </w:p>
        </w:tc>
        <w:tc>
          <w:tcPr>
            <w:tcW w:w="1884" w:type="dxa"/>
          </w:tcPr>
          <w:p>
            <w:pPr>
              <w:widowControl/>
              <w:jc w:val="center"/>
              <w:rPr>
                <w:rFonts w:ascii="仿宋_GB2312" w:eastAsia="仿宋_GB2312"/>
                <w:sz w:val="30"/>
                <w:szCs w:val="30"/>
              </w:rPr>
            </w:pPr>
            <w:r>
              <w:rPr>
                <w:rFonts w:hint="eastAsia" w:ascii="仿宋_GB2312" w:eastAsia="仿宋_GB2312"/>
                <w:sz w:val="30"/>
                <w:szCs w:val="3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4" w:type="dxa"/>
          </w:tcPr>
          <w:p>
            <w:pPr>
              <w:widowControl/>
              <w:jc w:val="center"/>
              <w:rPr>
                <w:rFonts w:ascii="仿宋_GB2312" w:eastAsia="仿宋_GB2312"/>
                <w:sz w:val="30"/>
                <w:szCs w:val="30"/>
              </w:rPr>
            </w:pPr>
            <w:r>
              <w:rPr>
                <w:rFonts w:hint="eastAsia" w:ascii="仿宋_GB2312" w:eastAsia="仿宋_GB2312"/>
                <w:sz w:val="30"/>
                <w:szCs w:val="30"/>
              </w:rPr>
              <w:t>效率(%)</w:t>
            </w:r>
          </w:p>
        </w:tc>
        <w:tc>
          <w:tcPr>
            <w:tcW w:w="1883" w:type="dxa"/>
          </w:tcPr>
          <w:p>
            <w:pPr>
              <w:widowControl/>
              <w:jc w:val="center"/>
              <w:rPr>
                <w:rFonts w:hint="default" w:ascii="仿宋_GB2312" w:eastAsia="仿宋_GB2312"/>
                <w:sz w:val="30"/>
                <w:szCs w:val="30"/>
                <w:lang w:val="en-US" w:eastAsia="zh-CN"/>
              </w:rPr>
            </w:pPr>
            <w:r>
              <w:rPr>
                <w:rFonts w:hint="eastAsia" w:ascii="仿宋_GB2312" w:eastAsia="仿宋_GB2312"/>
                <w:sz w:val="30"/>
                <w:szCs w:val="30"/>
              </w:rPr>
              <w:t>99.</w:t>
            </w:r>
            <w:r>
              <w:rPr>
                <w:rFonts w:hint="eastAsia" w:ascii="仿宋_GB2312" w:eastAsia="仿宋_GB2312"/>
                <w:sz w:val="30"/>
                <w:szCs w:val="30"/>
                <w:lang w:val="en-US" w:eastAsia="zh-CN"/>
              </w:rPr>
              <w:t>83</w:t>
            </w:r>
          </w:p>
        </w:tc>
        <w:tc>
          <w:tcPr>
            <w:tcW w:w="1884" w:type="dxa"/>
          </w:tcPr>
          <w:p>
            <w:pPr>
              <w:widowControl/>
              <w:jc w:val="center"/>
              <w:rPr>
                <w:rFonts w:hint="default" w:ascii="仿宋_GB2312" w:eastAsia="仿宋_GB2312"/>
                <w:sz w:val="30"/>
                <w:szCs w:val="30"/>
                <w:lang w:val="en-US" w:eastAsia="zh-CN"/>
              </w:rPr>
            </w:pPr>
            <w:r>
              <w:rPr>
                <w:rFonts w:hint="eastAsia" w:ascii="仿宋_GB2312" w:eastAsia="仿宋_GB2312"/>
                <w:sz w:val="30"/>
                <w:szCs w:val="30"/>
                <w:lang w:val="en-US" w:eastAsia="zh-CN"/>
              </w:rPr>
              <w:t>84.25</w:t>
            </w:r>
          </w:p>
        </w:tc>
        <w:tc>
          <w:tcPr>
            <w:tcW w:w="1884" w:type="dxa"/>
          </w:tcPr>
          <w:p>
            <w:pPr>
              <w:widowControl/>
              <w:jc w:val="center"/>
              <w:rPr>
                <w:rFonts w:hint="default" w:ascii="仿宋_GB2312" w:eastAsia="仿宋_GB2312"/>
                <w:sz w:val="30"/>
                <w:szCs w:val="30"/>
                <w:lang w:val="en-US" w:eastAsia="zh-CN"/>
              </w:rPr>
            </w:pPr>
            <w:r>
              <w:rPr>
                <w:rFonts w:hint="eastAsia" w:ascii="仿宋_GB2312" w:eastAsia="仿宋_GB2312"/>
                <w:sz w:val="30"/>
                <w:szCs w:val="30"/>
                <w:lang w:val="en-US" w:eastAsia="zh-CN"/>
              </w:rPr>
              <w:t>98.81</w:t>
            </w:r>
          </w:p>
        </w:tc>
      </w:tr>
    </w:tbl>
    <w:p>
      <w:pPr>
        <w:widowControl/>
        <w:ind w:left="987"/>
        <w:rPr>
          <w:rFonts w:ascii="仿宋_GB2312" w:eastAsia="仿宋_GB2312"/>
          <w:sz w:val="32"/>
          <w:szCs w:val="32"/>
        </w:rPr>
      </w:pPr>
    </w:p>
    <w:p>
      <w:pPr>
        <w:rPr>
          <w:rFonts w:ascii="Arial" w:hAnsi="Arial" w:eastAsia="宋体" w:cs="Arial"/>
          <w:b/>
          <w:bCs/>
          <w:color w:val="575757"/>
          <w:kern w:val="0"/>
          <w:sz w:val="30"/>
          <w:szCs w:val="30"/>
        </w:rPr>
      </w:pPr>
    </w:p>
    <w:p>
      <w:r>
        <w:rPr>
          <w:rFonts w:hint="eastAsia" w:ascii="Arial" w:hAnsi="Arial" w:eastAsia="宋体" w:cs="Arial"/>
          <w:b/>
          <w:bCs/>
          <w:color w:val="575757"/>
          <w:kern w:val="0"/>
          <w:sz w:val="30"/>
          <w:szCs w:val="30"/>
        </w:rPr>
        <w:t xml:space="preserve">   </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A366A"/>
    <w:multiLevelType w:val="multilevel"/>
    <w:tmpl w:val="6D7A366A"/>
    <w:lvl w:ilvl="0" w:tentative="0">
      <w:start w:val="1"/>
      <w:numFmt w:val="decimal"/>
      <w:lvlText w:val="%1)"/>
      <w:lvlJc w:val="left"/>
      <w:pPr>
        <w:ind w:left="987" w:hanging="42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CD"/>
    <w:rsid w:val="00097EE0"/>
    <w:rsid w:val="000E72CD"/>
    <w:rsid w:val="001558F6"/>
    <w:rsid w:val="00157163"/>
    <w:rsid w:val="002118ED"/>
    <w:rsid w:val="003654EA"/>
    <w:rsid w:val="003A45DB"/>
    <w:rsid w:val="0046379B"/>
    <w:rsid w:val="004C4AD9"/>
    <w:rsid w:val="00561E92"/>
    <w:rsid w:val="005C6751"/>
    <w:rsid w:val="005D306D"/>
    <w:rsid w:val="005E2683"/>
    <w:rsid w:val="005E5491"/>
    <w:rsid w:val="005F48FC"/>
    <w:rsid w:val="00651170"/>
    <w:rsid w:val="006841F5"/>
    <w:rsid w:val="00733AFC"/>
    <w:rsid w:val="00734030"/>
    <w:rsid w:val="00781118"/>
    <w:rsid w:val="007D4083"/>
    <w:rsid w:val="0085100C"/>
    <w:rsid w:val="008B034B"/>
    <w:rsid w:val="0093594D"/>
    <w:rsid w:val="009B56A4"/>
    <w:rsid w:val="00B422F0"/>
    <w:rsid w:val="00B60F15"/>
    <w:rsid w:val="00B77062"/>
    <w:rsid w:val="00BA6CF2"/>
    <w:rsid w:val="00C14410"/>
    <w:rsid w:val="00DE2EA0"/>
    <w:rsid w:val="00E605E1"/>
    <w:rsid w:val="00E74436"/>
    <w:rsid w:val="00E86A94"/>
    <w:rsid w:val="00F42057"/>
    <w:rsid w:val="22C26D41"/>
    <w:rsid w:val="2DFF5103"/>
    <w:rsid w:val="664E5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9"/>
    <w:pPr>
      <w:widowControl/>
      <w:spacing w:line="360" w:lineRule="atLeast"/>
      <w:jc w:val="left"/>
      <w:outlineLvl w:val="1"/>
    </w:pPr>
    <w:rPr>
      <w:rFonts w:ascii="宋体" w:hAnsi="宋体" w:eastAsia="宋体" w:cs="宋体"/>
      <w:b/>
      <w:bCs/>
      <w:color w:val="E17630"/>
      <w:kern w:val="0"/>
      <w:sz w:val="36"/>
      <w:szCs w:val="36"/>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标题 2 Char"/>
    <w:basedOn w:val="8"/>
    <w:link w:val="2"/>
    <w:uiPriority w:val="9"/>
    <w:rPr>
      <w:rFonts w:ascii="宋体" w:hAnsi="宋体" w:eastAsia="宋体" w:cs="宋体"/>
      <w:b/>
      <w:bCs/>
      <w:color w:val="E17630"/>
      <w:kern w:val="0"/>
      <w:sz w:val="36"/>
      <w:szCs w:val="36"/>
    </w:rPr>
  </w:style>
  <w:style w:type="paragraph" w:styleId="10">
    <w:name w:val="List Paragraph"/>
    <w:basedOn w:val="1"/>
    <w:qFormat/>
    <w:uiPriority w:val="34"/>
    <w:pPr>
      <w:ind w:firstLine="420" w:firstLineChars="200"/>
    </w:pPr>
  </w:style>
  <w:style w:type="character" w:customStyle="1" w:styleId="11">
    <w:name w:val="批注框文本 Char"/>
    <w:basedOn w:val="8"/>
    <w:link w:val="3"/>
    <w:semiHidden/>
    <w:uiPriority w:val="99"/>
    <w:rPr>
      <w:sz w:val="18"/>
      <w:szCs w:val="18"/>
    </w:r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182</Words>
  <Characters>1043</Characters>
  <Lines>8</Lines>
  <Paragraphs>2</Paragraphs>
  <TotalTime>10</TotalTime>
  <ScaleCrop>false</ScaleCrop>
  <LinksUpToDate>false</LinksUpToDate>
  <CharactersWithSpaces>1223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2017-01-04T08:48:00Z</dcterms:created>
  <dc:creator>张应雨</dc:creator>
  <cp:lastModifiedBy>何健</cp:lastModifiedBy>
  <cp:lastPrinted>2020-01-15T02:13:00Z</cp:lastPrinted>
  <dcterms:modified xsi:type="dcterms:W3CDTF">2021-01-26T03:35:27Z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